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both"/>
        <w:rPr>
          <w:rFonts w:eastAsia="Times New Roman" w:cs="Times New Roman"/>
          <w:b/>
          <w:szCs w:val="24"/>
          <w:lang w:eastAsia="hr-HR"/>
        </w:rPr>
      </w:pPr>
      <w:r>
        <w:rPr>
          <w:rFonts w:eastAsia="Times New Roman" w:cs="Times New Roman"/>
          <w:b/>
          <w:szCs w:val="24"/>
          <w:lang w:eastAsia="hr-HR"/>
        </w:rPr>
        <w:t>DJEČJI VRTIĆ LOPOČ</w:t>
      </w:r>
    </w:p>
    <w:p>
      <w:pPr>
        <w:pStyle w:val="Normal"/>
        <w:spacing w:before="0" w:after="0"/>
        <w:jc w:val="both"/>
        <w:rPr>
          <w:rFonts w:eastAsia="Times New Roman" w:cs="Times New Roman"/>
          <w:b/>
          <w:szCs w:val="24"/>
          <w:lang w:eastAsia="hr-HR"/>
        </w:rPr>
      </w:pPr>
      <w:r>
        <w:rPr>
          <w:rFonts w:eastAsia="Times New Roman" w:cs="Times New Roman"/>
          <w:b/>
          <w:szCs w:val="24"/>
          <w:lang w:eastAsia="hr-HR"/>
        </w:rPr>
        <w:t>BANA JELAČIĆA 5B</w:t>
      </w:r>
    </w:p>
    <w:p>
      <w:pPr>
        <w:pStyle w:val="Normal"/>
        <w:spacing w:before="0" w:after="0"/>
        <w:jc w:val="both"/>
        <w:rPr>
          <w:rFonts w:eastAsia="Times New Roman" w:cs="Times New Roman"/>
          <w:b/>
          <w:szCs w:val="24"/>
          <w:lang w:eastAsia="hr-HR"/>
        </w:rPr>
      </w:pPr>
      <w:r>
        <w:rPr>
          <w:rFonts w:eastAsia="Times New Roman" w:cs="Times New Roman"/>
          <w:b/>
          <w:szCs w:val="24"/>
          <w:lang w:eastAsia="hr-HR"/>
        </w:rPr>
        <w:t>32238 TOMPOJEVCI</w:t>
      </w:r>
    </w:p>
    <w:p>
      <w:pPr>
        <w:pStyle w:val="Normal"/>
        <w:spacing w:before="0" w:after="0"/>
        <w:jc w:val="both"/>
        <w:rPr>
          <w:rFonts w:eastAsia="PMingLiU" w:cs="Times New Roman"/>
          <w:b/>
          <w:color w:val="000000"/>
          <w:szCs w:val="24"/>
          <w:lang w:val="de-DE" w:eastAsia="zh-HK" w:bidi="en-US"/>
        </w:rPr>
      </w:pPr>
      <w:r>
        <w:rPr>
          <w:rFonts w:eastAsia="PMingLiU" w:cs="Times New Roman"/>
          <w:b/>
          <w:color w:val="000000"/>
          <w:szCs w:val="24"/>
          <w:lang w:val="de-DE" w:eastAsia="zh-HK" w:bidi="en-US"/>
        </w:rPr>
        <w:t>UPRAVNO VIJEĆE</w:t>
      </w:r>
    </w:p>
    <w:p>
      <w:pPr>
        <w:pStyle w:val="Normal"/>
        <w:suppressAutoHyphens w:val="true"/>
        <w:spacing w:lineRule="auto" w:line="240" w:before="0" w:after="0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szCs w:val="24"/>
          <w:lang w:eastAsia="ar-SA"/>
        </w:rPr>
        <w:t>KLASA: 112-03/26-01/03</w:t>
      </w:r>
    </w:p>
    <w:p>
      <w:pPr>
        <w:pStyle w:val="Normal"/>
        <w:suppressAutoHyphens w:val="true"/>
        <w:spacing w:lineRule="auto" w:line="240" w:before="0" w:after="0"/>
        <w:rPr>
          <w:rFonts w:eastAsia="Times New Roman" w:cs="Times New Roman"/>
          <w:szCs w:val="24"/>
          <w:lang w:val="pl-PL" w:eastAsia="ar-SA"/>
        </w:rPr>
      </w:pPr>
      <w:r>
        <w:rPr>
          <w:rFonts w:eastAsia="Times New Roman" w:cs="Times New Roman"/>
          <w:szCs w:val="24"/>
          <w:lang w:val="pl-PL" w:eastAsia="ar-SA"/>
        </w:rPr>
        <w:t xml:space="preserve">URBROJ: </w:t>
      </w:r>
      <w:r>
        <w:rPr>
          <w:rFonts w:eastAsia="Aptos" w:cs="Times New Roman"/>
          <w:color w:val="000000"/>
          <w:szCs w:val="24"/>
          <w:lang w:eastAsia="hr-HR"/>
          <w14:ligatures w14:val="standardContextual"/>
        </w:rPr>
        <w:t>2196-26-1-02-26-1</w:t>
      </w:r>
    </w:p>
    <w:p>
      <w:pPr>
        <w:pStyle w:val="Normal"/>
        <w:suppressAutoHyphens w:val="true"/>
        <w:spacing w:before="0" w:after="0"/>
        <w:jc w:val="both"/>
        <w:rPr>
          <w:rFonts w:eastAsia="Times New Roman" w:cs="Times New Roman"/>
          <w:color w:val="EE0000"/>
          <w:szCs w:val="24"/>
          <w:lang w:val="de-DE" w:eastAsia="hr-HR"/>
        </w:rPr>
      </w:pPr>
      <w:r>
        <w:rPr>
          <w:rFonts w:eastAsia="Times New Roman" w:cs="Times New Roman"/>
          <w:szCs w:val="24"/>
          <w:lang w:val="de-DE" w:eastAsia="hr-HR"/>
        </w:rPr>
        <w:t xml:space="preserve">Tompojevci, </w:t>
      </w:r>
      <w:r>
        <w:rPr>
          <w:rFonts w:eastAsia="Times New Roman" w:cs="Times New Roman"/>
          <w:color w:themeColor="text1" w:val="000000"/>
          <w:szCs w:val="24"/>
          <w:lang w:val="de-DE" w:eastAsia="hr-HR"/>
        </w:rPr>
        <w:t>10.09.2026.</w:t>
      </w:r>
    </w:p>
    <w:p>
      <w:pPr>
        <w:pStyle w:val="Normal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        </w:t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Na temelju članka 26. stavka 2. Zakona o predškolskom odgoju i obrazovanju („Narodne novine“, broj 10/97, 107/07, 94/13, 98/19, 57/22, 101/23, 22/26), </w:t>
      </w:r>
      <w:r>
        <w:rPr>
          <w:rFonts w:cs="Times New Roman"/>
          <w:color w:val="0A0A0A"/>
          <w:spacing w:val="-5"/>
          <w:szCs w:val="24"/>
          <w:shd w:fill="FFFFFF" w:val="clear"/>
        </w:rPr>
        <w:t>članka 24., 31. i 32. Statuta Dječjeg vrtića „Lopoč“ te Odluke o raspisivanju natječaja na određeno vrijeme za zdravstvenog voditelja Dječjeg vrtića Lopoč na pola radnog vremena (</w:t>
      </w:r>
      <w:r>
        <w:rPr>
          <w:rFonts w:cs="Times New Roman"/>
          <w:szCs w:val="24"/>
        </w:rPr>
        <w:t>KLASA: 007/05-26-01/08, URBROJ: 2196/1-26-1-02-26-6 od 18. kolovoza 2026. godine), Upravno vijeće Dječjeg vrtića Lopoč raspisuje</w:t>
      </w:r>
    </w:p>
    <w:p>
      <w:pPr>
        <w:pStyle w:val="Normal"/>
        <w:spacing w:before="0" w:after="0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</w:r>
    </w:p>
    <w:p>
      <w:pPr>
        <w:pStyle w:val="Normal"/>
        <w:spacing w:before="0" w:after="0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</w:r>
    </w:p>
    <w:p>
      <w:pPr>
        <w:pStyle w:val="Normal"/>
        <w:spacing w:before="0" w:after="0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NATJEČAJ</w:t>
      </w:r>
    </w:p>
    <w:p>
      <w:pPr>
        <w:pStyle w:val="Normal"/>
        <w:spacing w:before="0" w:after="0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</w:r>
    </w:p>
    <w:p>
      <w:pPr>
        <w:pStyle w:val="Normal"/>
        <w:spacing w:before="0" w:after="0"/>
        <w:jc w:val="both"/>
        <w:rPr>
          <w:rFonts w:cs="Times New Roman"/>
          <w:b/>
          <w:szCs w:val="24"/>
        </w:rPr>
      </w:pPr>
      <w:r>
        <w:rPr>
          <w:rFonts w:cs="Times New Roman"/>
          <w:szCs w:val="24"/>
        </w:rPr>
        <w:t>Za obavljanje poslova:</w:t>
      </w:r>
      <w:r>
        <w:rPr>
          <w:rFonts w:cs="Times New Roman"/>
          <w:b/>
          <w:szCs w:val="24"/>
        </w:rPr>
        <w:t xml:space="preserve"> </w:t>
      </w:r>
    </w:p>
    <w:p>
      <w:pPr>
        <w:pStyle w:val="Normal"/>
        <w:spacing w:before="0" w:after="0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</w:r>
    </w:p>
    <w:p>
      <w:pPr>
        <w:pStyle w:val="Normal"/>
        <w:spacing w:before="0" w:after="0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STRUČNI SURADNIK/ICA </w:t>
      </w:r>
      <w:r>
        <w:rPr>
          <w:rFonts w:cs="Times New Roman"/>
          <w:b/>
          <w:szCs w:val="24"/>
        </w:rPr>
        <w:t>PEDAGOG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jedan (1) izvršitelj, na određeno, pola radnog vremena. </w:t>
      </w:r>
    </w:p>
    <w:p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0" w:after="0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UVJETI ZA RADNO MJESTO:</w:t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Za stručnog suradnika/icu psihologa/inju može biti primljena osoba koja ispunjava uvjete iz članka 24. Zakona o predškolskom odgoju i obrazovanju („Narodne novine“, broj 10/97,107/07, 94/13, 98/19, 57/22, 101/23, 22/26) i članka 3. stavka 1. točka b) Pravilnika o odgovarajućoj vrsti i razini obrazovanja odgojno- obrazovnih i ostalih radnika u dječjem vrtiću, ustanovama te drugim pravnim i fizičkim osobama  koje provode programe ranog i predškolskog odgoja i obrazovanja („Narodne novine“, broj 145/24).</w:t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Radni odnos u Dječjem vrtiću ne može zasnovati osoba koja ima zapreke iz članka 25. Zakona o predškolskom odgoju i obrazovanju.</w:t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0" w:after="0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Kandidati uz potpisanu prijavu na natječaj prilažu, u preslici: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životopis,</w:t>
      </w:r>
    </w:p>
    <w:p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dokaz o stečenoj stručnoj spremi (VSS, završen diplomski sveučilišni studij ili diplomski specijalistički studij),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kao dokaz o nepostojanju zapreka za zasnivanje radnog odnosa sukladno čl. 25. Zakona o predškolskom odgoju i obrazovanju dostavljaju se sljedeći dokumenti (ne stariji od 6 mjeseci):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a) uvjerenje nadležnog suda da se protiv kandidata ne vodi kazneni postupak prema članku 25. stavak 2. Zakona o predškolskom odgoju i obrazovanju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b) uvjerenje nadležnog suda da se protiv kandidata ne vodi prekršajni postupak prema članku 25. stavak 4. Zakona o predškolskom odgoju i obrazovanju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c) uvjerenje nadležnog suda da kandidat nema izrečenu mjeru za zaštitu osobnih prava i dobrobiti djeteta u nadležnosti suda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d) uvjerenje nadležnog Hrvatskog centra za socijalni rad da kandidat nema izrečenu mjeru žurnog izdvajanja djeteta iz obitelji iz članka 25. stavak 10. Zakona o predškolskom odgoju i obrazovanju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elektronički zapis odnosno potvrda o podacima evidentiranim u matičnoj evidenciji Hrvatskog zavoda za mirovinsko osiguranje,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preslika osobne iskaznice, domovnice, vojne iskaznice ili putovnice.</w:t>
      </w:r>
    </w:p>
    <w:p>
      <w:pPr>
        <w:pStyle w:val="ListParagraph"/>
        <w:spacing w:before="0" w:after="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eastAsia="Times New Roman" w:cs="Times New Roman"/>
          <w:szCs w:val="24"/>
          <w:lang w:eastAsia="zh-CN"/>
        </w:rPr>
      </w:pPr>
      <w:r>
        <w:rPr>
          <w:rFonts w:eastAsia="Times New Roman" w:cs="Times New Roman"/>
          <w:szCs w:val="24"/>
          <w:lang w:eastAsia="zh-CN"/>
        </w:rPr>
        <w:t>Isprave se prilažu u neovjerenom presliku, a prije izbora kandidata predočit će se izvornik. Natječajna dokumentacija neće se vraćati.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Calibri Light" w:hAnsi="Calibri Light" w:eastAsia="Times New Roman" w:cs="Calibri Light"/>
          <w:sz w:val="18"/>
          <w:szCs w:val="18"/>
          <w:lang w:eastAsia="zh-CN"/>
        </w:rPr>
      </w:pPr>
      <w:r>
        <w:rPr>
          <w:rFonts w:eastAsia="Times New Roman" w:cs="Calibri Light" w:ascii="Calibri Light" w:hAnsi="Calibri Light"/>
          <w:sz w:val="18"/>
          <w:szCs w:val="18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eastAsia="Times New Roman" w:cs="Times New Roman"/>
          <w:szCs w:val="24"/>
          <w:lang w:eastAsia="zh-CN"/>
        </w:rPr>
      </w:pPr>
      <w:r>
        <w:rPr>
          <w:rFonts w:eastAsia="Times New Roman" w:cs="Times New Roman"/>
          <w:szCs w:val="24"/>
          <w:lang w:eastAsia="zh-CN"/>
        </w:rPr>
        <w:t>Ako kandidat uz prijavu na natječaj priloži dokumente u kojima osobni podaci nisu istovjetni podacima u prijavi na natječaj, dužan je dostaviti i dokaz o njihovoj promjeni (preslik vjenčanog ili rodnog lista i dr.).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Izabrani kandidat je dužan sukladno članku 24. Zakona o predškolskom odgoju i obrazovanju, a prije potpisivanja ugovora o radu, utvrditi zdravstvenu sposobnost. Ukoliko kandidat to odbije ili bude zdravstveno nesposoban, izabrat će se sljedeće rangirani kandidat.</w:t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U skladu s člankom 13. stavak 3. Zakona o ravnopravnosti spolova („Narodne novine“, broj 82/08, 69/17) prijaviti se mogu kandidati oba spola koji ispunjavaju uvjete. Izrazi iz teksta natječaja koji imaju rodno značenje koriste se neutralno i jednako su primjenjivi na muški i ženski rod.</w:t>
      </w:r>
    </w:p>
    <w:p>
      <w:pPr>
        <w:pStyle w:val="Normal"/>
        <w:shd w:val="clear" w:color="auto" w:fill="FFFFFF"/>
        <w:spacing w:lineRule="atLeast" w:line="215" w:beforeAutospacing="1" w:afterAutospacing="1"/>
        <w:jc w:val="both"/>
        <w:rPr>
          <w:rFonts w:eastAsia="Times New Roman" w:cs="Times New Roman"/>
          <w:color w:val="222222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 xml:space="preserve">Osobe koje prema posebnim propisima ostvaruju pravo prednosti pri zapošljavanju, moraju se u prijavi pozvati na to pravo, odnosno uz prijavu priložiti svu propisanu dokumentaciju prema posebnom zakonu te imaju prednost u odnosu na ostale kandidate samo pod </w:t>
      </w:r>
      <w:r>
        <w:rPr>
          <w:rFonts w:eastAsia="Times New Roman" w:cs="Times New Roman"/>
          <w:color w:val="222222"/>
          <w:szCs w:val="24"/>
          <w:lang w:eastAsia="hr-HR"/>
        </w:rPr>
        <w:t>jednakim uvjetima.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eastAsia="Times New Roman" w:cs="Times New Roman"/>
          <w:color w:val="222222"/>
          <w:szCs w:val="24"/>
          <w:lang w:eastAsia="hr-HR"/>
        </w:rPr>
      </w:pPr>
      <w:r>
        <w:rPr>
          <w:rFonts w:eastAsia="Times New Roman" w:cs="Times New Roman"/>
          <w:color w:val="222222"/>
          <w:szCs w:val="24"/>
          <w:lang w:eastAsia="hr-HR"/>
        </w:rPr>
        <w:t xml:space="preserve">Osoba koja može ostvariti pravo prednosti: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eastAsia="Times New Roman" w:cs="Times New Roman"/>
          <w:color w:val="222222"/>
          <w:szCs w:val="24"/>
          <w:lang w:eastAsia="hr-HR"/>
        </w:rPr>
      </w:pPr>
      <w:r>
        <w:rPr>
          <w:rFonts w:eastAsia="Times New Roman" w:cs="Times New Roman"/>
          <w:color w:val="222222"/>
          <w:szCs w:val="24"/>
          <w:lang w:eastAsia="hr-HR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eastAsia="Times New Roman" w:cs="Times New Roman"/>
          <w:color w:val="222222"/>
          <w:szCs w:val="24"/>
          <w:lang w:eastAsia="hr-HR"/>
        </w:rPr>
      </w:pPr>
      <w:r>
        <w:rPr>
          <w:rFonts w:eastAsia="Times New Roman" w:cs="Times New Roman"/>
          <w:color w:val="222222"/>
          <w:szCs w:val="24"/>
          <w:lang w:eastAsia="hr-HR"/>
        </w:rPr>
        <w:t xml:space="preserve">- sukladno članku 102. stavka 1. – 3. Zakona o hrvatskim braniteljima iz Domovinskog rata i članovima njihovih obitelji („Narodne novine“, broj 121/17, 98/19, 84/21, 156/23) uz prijavu na natječaj dužna je priložiti osim dokaza o ispunjavanju traženih uvjeta i sve potrebne  dokaze dostupne na poveznici Ministarstva hrvatskih branitelja: </w:t>
      </w:r>
      <w:hyperlink r:id="rId2">
        <w:r>
          <w:rPr>
            <w:rStyle w:val="Style9"/>
            <w:rFonts w:eastAsia="Times New Roman" w:cs="Times New Roman"/>
            <w:color w:val="0000FF"/>
            <w:szCs w:val="24"/>
            <w:u w:val="single"/>
            <w:lang w:eastAsia="hr-HR"/>
          </w:rPr>
          <w:t>https://branitelji.gov.hr/zaposljavanje843/843</w:t>
        </w:r>
      </w:hyperlink>
      <w:r>
        <w:rPr>
          <w:rFonts w:eastAsia="Times New Roman" w:cs="Times New Roman"/>
          <w:color w:val="222222"/>
          <w:szCs w:val="24"/>
          <w:lang w:eastAsia="hr-HR"/>
        </w:rPr>
        <w:t xml:space="preserve">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eastAsia="Times New Roman" w:cs="Times New Roman"/>
          <w:color w:val="222222"/>
          <w:szCs w:val="24"/>
          <w:lang w:eastAsia="hr-HR"/>
        </w:rPr>
      </w:pPr>
      <w:r>
        <w:rPr>
          <w:rFonts w:eastAsia="Times New Roman" w:cs="Times New Roman"/>
          <w:color w:val="222222"/>
          <w:szCs w:val="24"/>
          <w:lang w:eastAsia="hr-HR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eastAsia="Times New Roman" w:cs="Times New Roman"/>
          <w:color w:val="222222"/>
          <w:szCs w:val="24"/>
          <w:lang w:eastAsia="hr-HR"/>
        </w:rPr>
      </w:pPr>
      <w:r>
        <w:rPr>
          <w:rFonts w:eastAsia="Times New Roman" w:cs="Times New Roman"/>
          <w:color w:val="222222"/>
          <w:szCs w:val="24"/>
          <w:lang w:eastAsia="hr-HR"/>
        </w:rPr>
        <w:t>Informacije o dokazima koji su potrebni za ostvarivanje prava prednosti pri zapošljavanju nalaze se na poveznici: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eastAsia="Times New Roman" w:cs="Times New Roman"/>
          <w:color w:val="222222"/>
          <w:szCs w:val="24"/>
          <w:lang w:eastAsia="hr-HR"/>
        </w:rPr>
      </w:pPr>
      <w:r>
        <w:rPr>
          <w:rFonts w:eastAsia="Times New Roman" w:cs="Times New Roman"/>
          <w:color w:val="222222"/>
          <w:szCs w:val="24"/>
          <w:lang w:eastAsia="hr-HR"/>
        </w:rPr>
        <w:t xml:space="preserve"> </w:t>
      </w:r>
      <w:hyperlink r:id="rId3">
        <w:r>
          <w:rPr>
            <w:rStyle w:val="Style9"/>
            <w:rFonts w:eastAsia="Times New Roman" w:cs="Times New Roman"/>
            <w:color w:val="0000FF"/>
            <w:szCs w:val="24"/>
            <w:u w:val="single"/>
            <w:lang w:eastAsia="hr-HR"/>
          </w:rPr>
          <w:t>https://branitelji.gov.hr/UserDocsImages/dokumenti/Nikola/popis%20dokaza%20za%20ostvarivanje%20prava%20prednosti%20pri%20zapo%C5%A1ljavanju-%20ZOHBDR%202021.pdf</w:t>
        </w:r>
      </w:hyperlink>
      <w:r>
        <w:rPr>
          <w:rFonts w:eastAsia="Times New Roman" w:cs="Times New Roman"/>
          <w:color w:val="222222"/>
          <w:szCs w:val="24"/>
          <w:lang w:eastAsia="hr-HR"/>
        </w:rPr>
        <w:t xml:space="preserve">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eastAsia="Times New Roman" w:cs="Times New Roman"/>
          <w:color w:val="222222"/>
          <w:szCs w:val="24"/>
          <w:lang w:eastAsia="hr-HR"/>
        </w:rPr>
      </w:pPr>
      <w:r>
        <w:rPr>
          <w:rFonts w:eastAsia="Times New Roman" w:cs="Times New Roman"/>
          <w:color w:val="222222"/>
          <w:szCs w:val="24"/>
          <w:lang w:eastAsia="hr-HR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eastAsia="Times New Roman" w:cs="Times New Roman"/>
          <w:color w:val="222222"/>
          <w:szCs w:val="24"/>
          <w:lang w:eastAsia="hr-HR"/>
        </w:rPr>
      </w:pPr>
      <w:r>
        <w:rPr>
          <w:rFonts w:eastAsia="Times New Roman" w:cs="Times New Roman"/>
          <w:color w:val="222222"/>
          <w:szCs w:val="24"/>
          <w:lang w:eastAsia="hr-HR"/>
        </w:rPr>
        <w:t>- sukladno članku 47. - 50. Zakona o civilnim stradalnicima iz Domovinskog rata („Narodne novine“, broj 84/21, 13/26), uz prijavu na natječaj dužna je priložiti osim dokaza o ispunjavanju traženih uvjeta i sve potrebne dokaze dostupne na poveznici Ministarstva hrvatskih branitelja: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eastAsia="Times New Roman" w:cs="Times New Roman"/>
          <w:color w:val="222222"/>
          <w:szCs w:val="24"/>
          <w:lang w:eastAsia="hr-HR"/>
        </w:rPr>
      </w:pPr>
      <w:r>
        <w:rPr>
          <w:rFonts w:eastAsia="Times New Roman" w:cs="Times New Roman"/>
          <w:color w:val="222222"/>
          <w:szCs w:val="24"/>
          <w:lang w:eastAsia="hr-HR"/>
        </w:rPr>
        <w:t xml:space="preserve">  </w:t>
      </w:r>
      <w:hyperlink r:id="rId4">
        <w:r>
          <w:rPr>
            <w:rStyle w:val="Style9"/>
            <w:rFonts w:eastAsia="Times New Roman" w:cs="Times New Roman"/>
            <w:color w:val="0000FF"/>
            <w:szCs w:val="24"/>
            <w:u w:val="single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>
        <w:rPr>
          <w:rFonts w:eastAsia="Times New Roman" w:cs="Times New Roman"/>
          <w:color w:val="222222"/>
          <w:szCs w:val="24"/>
          <w:lang w:eastAsia="hr-HR"/>
        </w:rPr>
        <w:t xml:space="preserve">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eastAsia="Times New Roman" w:cs="Times New Roman"/>
          <w:color w:val="222222"/>
          <w:szCs w:val="24"/>
          <w:lang w:eastAsia="hr-HR"/>
        </w:rPr>
      </w:pPr>
      <w:r>
        <w:rPr>
          <w:rFonts w:eastAsia="Times New Roman" w:cs="Times New Roman"/>
          <w:color w:val="222222"/>
          <w:szCs w:val="24"/>
          <w:lang w:eastAsia="hr-HR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eastAsia="Times New Roman" w:cs="Times New Roman"/>
          <w:color w:val="222222"/>
          <w:szCs w:val="24"/>
          <w:lang w:eastAsia="hr-HR"/>
        </w:rPr>
      </w:pPr>
      <w:r>
        <w:rPr>
          <w:rFonts w:eastAsia="Times New Roman" w:cs="Times New Roman"/>
          <w:color w:val="222222"/>
          <w:szCs w:val="24"/>
          <w:lang w:eastAsia="hr-HR"/>
        </w:rPr>
        <w:t xml:space="preserve">- sukladno članku 48.f  Zakona o zaštiti vojnih i civilnih invalida rata („Narodne novine“, broj 33/92, 77/92, 27/93, 58/93, 2/94, 76/94, 108/95, 108/96, 82/01, 103/03, 148/13, 98/19), uz prijavu na natječaj dužna je priložiti osim dokaza o ispunjavanju traženih uvjeta, kao i rješenje, odnosno potvrdu iz koje je vidljivo spomenuto pravo te dokaz o tome na koji način je prestao radni odnos kod posljednjeg poslodavca;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eastAsia="Times New Roman" w:cs="Times New Roman"/>
          <w:color w:val="222222"/>
          <w:szCs w:val="24"/>
          <w:lang w:eastAsia="hr-HR"/>
        </w:rPr>
      </w:pPr>
      <w:r>
        <w:rPr>
          <w:rFonts w:eastAsia="Times New Roman" w:cs="Times New Roman"/>
          <w:color w:val="222222"/>
          <w:szCs w:val="24"/>
          <w:lang w:eastAsia="hr-HR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eastAsia="Times New Roman" w:cs="Times New Roman"/>
          <w:color w:val="222222"/>
          <w:szCs w:val="24"/>
          <w:lang w:eastAsia="hr-HR"/>
        </w:rPr>
      </w:pPr>
      <w:r>
        <w:rPr>
          <w:rFonts w:eastAsia="Times New Roman" w:cs="Times New Roman"/>
          <w:color w:val="222222"/>
          <w:szCs w:val="24"/>
          <w:lang w:eastAsia="hr-HR"/>
        </w:rPr>
        <w:t xml:space="preserve">- sukladno članku 9. Zakona o profesionalnoj rehabilitaciji i zapošljavanju osoba s invaliditetom („Narodne novine“, broj 157/13, 152/14, 39/18, 32/20), uz prijavu na natječaj dužna je osim dokaza o ispunjavanju traženih uvjeta, priložiti dokaz o utvrđenom statusu osobe s invaliditetom te dokaz o tome na koji način je prestao radni odnos kod posljednjeg poslodavca.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eastAsia="Times New Roman" w:cs="Times New Roman"/>
          <w:color w:val="222222"/>
          <w:szCs w:val="24"/>
          <w:lang w:eastAsia="hr-HR"/>
        </w:rPr>
      </w:pPr>
      <w:r>
        <w:rPr>
          <w:rFonts w:eastAsia="Times New Roman" w:cs="Times New Roman"/>
          <w:color w:val="222222"/>
          <w:szCs w:val="24"/>
          <w:lang w:eastAsia="hr-HR"/>
        </w:rPr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Povjerenstvo za provedbu natječaja, a koju imenuje ravnatelj Dječjeg vrtića Lopoč, provest će pisano testiranje koje se sastoji od provjere znanja, vještina i sposobnosti kandidata/kinje.</w:t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Na prethodnu provjeru znanja i sposobnosti moći će pristupiti samo kandidati koji ispunjavaju formalne uvjete natječaja. Ako kandidat ne pristupi prethodnoj provjeri znanja i sposobnosti, smatrat će se da je povukao prijavu na natječaj. </w:t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 vremenu i načinu testiranja kao i pravnim izvorima za pripremanje kandidata za provjeru znanja, kandidati će biti obaviješteni na mrežnim stranicama Dječjeg vrtića Lopoč  </w:t>
      </w:r>
      <w:hyperlink r:id="rId5">
        <w:r>
          <w:rPr>
            <w:rStyle w:val="Hyperlink"/>
            <w:rFonts w:cs="Times New Roman"/>
            <w:szCs w:val="24"/>
          </w:rPr>
          <w:t>https://vrtic-lopoc.opcina-tompojevci.hr/</w:t>
        </w:r>
      </w:hyperlink>
      <w:r>
        <w:rPr>
          <w:rFonts w:cs="Times New Roman"/>
          <w:szCs w:val="24"/>
        </w:rPr>
        <w:t xml:space="preserve">, najmanje pet dana unaprijed prije održavanja provjere znanja i sposobnosti. </w:t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Svi kandidati, koji pristupe pisanoj provjeri znanja, imaju obvezu doći i na usmeni razgovor, o čemu će kandidati biti naknadno informirani. </w:t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Podnošenjem prijave na natječaj kandidati su izričito suglasni da Dječji vrtić Lopoč kao voditelj zbirke osobnih podataka, može prikupljati, koristiti i obrađivati podatke u svrhu provedbe natječajnog postupka, sukladno propisima kojima se uređuje zaštita osobnih podataka. Radi zaštite osobnih podataka, rezultate, obavijesti i slično ćemo objaviti u obliku inicijala i datuma rođenja.</w:t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Ukoliko se na natječaj ne prijave osobe koje ispunjavaju formalne uvjete, Povjerenstvo za provedbu natječaja može izabrati i drugu osobu sukladno članku 26. stavka 5. - 6. Zakona o predškolskom odgoju i obrazovanju.</w:t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 rezultatima testiranja kao i izboru kandidata, kandidati će biti obaviješteni javnom objavom na mrežnoj stranici Dječjeg vrtića Lopoč  </w:t>
      </w:r>
      <w:hyperlink r:id="rId6">
        <w:r>
          <w:rPr>
            <w:rStyle w:val="Hyperlink"/>
            <w:rFonts w:cs="Times New Roman"/>
            <w:szCs w:val="24"/>
          </w:rPr>
          <w:t>https://vrtic-lopoc.opcina-tompojevci.hr/</w:t>
        </w:r>
      </w:hyperlink>
      <w:r>
        <w:rPr>
          <w:rFonts w:cs="Times New Roman"/>
          <w:szCs w:val="24"/>
        </w:rPr>
        <w:t>, kao i na oglasnoj ploči Vrtića.</w:t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Dostava odluke o prijemu svim kandidatima/kinjama smatra se obavljenom istekom osmog dana od dana javne objave odluke na mrežnim stranicama Dječjeg vrtića Lopoč.</w:t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Prijave za natječaj s obveznom dokumentacijom dostavljaju se u zatvorenim omotnicama na adresu</w:t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0" w:after="0"/>
        <w:jc w:val="center"/>
        <w:rPr>
          <w:rFonts w:eastAsia="Times New Roman" w:cs="Times New Roman"/>
          <w:b/>
          <w:bCs/>
          <w:szCs w:val="24"/>
          <w:lang w:eastAsia="hr-HR"/>
        </w:rPr>
      </w:pPr>
      <w:r>
        <w:rPr>
          <w:rFonts w:eastAsia="Times New Roman" w:cs="Times New Roman"/>
          <w:b/>
          <w:bCs/>
          <w:szCs w:val="24"/>
          <w:lang w:eastAsia="hr-HR"/>
        </w:rPr>
        <w:t xml:space="preserve">Dječji vrtić „Lopoč“, Bana Jelačića 5B, Tompojevci </w:t>
      </w:r>
      <w:r>
        <w:rPr>
          <w:rFonts w:eastAsia="Times New Roman" w:cs="Times New Roman"/>
          <w:szCs w:val="24"/>
          <w:lang w:eastAsia="hr-HR"/>
        </w:rPr>
        <w:t>s naznakom</w:t>
      </w:r>
    </w:p>
    <w:p>
      <w:pPr>
        <w:pStyle w:val="Normal"/>
        <w:spacing w:before="0" w:after="0"/>
        <w:jc w:val="center"/>
        <w:rPr>
          <w:rFonts w:cs="Times New Roman"/>
          <w:b/>
          <w:szCs w:val="24"/>
        </w:rPr>
      </w:pPr>
      <w:r>
        <w:rPr>
          <w:rFonts w:eastAsia="Times New Roman" w:cs="Times New Roman"/>
          <w:b/>
          <w:bCs/>
          <w:szCs w:val="24"/>
          <w:lang w:eastAsia="hr-HR"/>
        </w:rPr>
        <w:t>„</w:t>
      </w:r>
      <w:r>
        <w:rPr>
          <w:rFonts w:eastAsia="Times New Roman" w:cs="Times New Roman"/>
          <w:b/>
          <w:bCs/>
          <w:szCs w:val="24"/>
          <w:lang w:eastAsia="hr-HR"/>
        </w:rPr>
        <w:t>Prijava na javni natječaj za stručnog suradnika/icu psihologa/inju – ne otvarati“</w:t>
      </w:r>
      <w:r>
        <w:rPr>
          <w:rFonts w:cs="Times New Roman"/>
          <w:b/>
          <w:bCs/>
          <w:szCs w:val="24"/>
        </w:rPr>
        <w:t>.</w:t>
      </w:r>
    </w:p>
    <w:p>
      <w:pPr>
        <w:pStyle w:val="Normal"/>
        <w:spacing w:before="0" w:after="0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</w:r>
    </w:p>
    <w:p>
      <w:pPr>
        <w:pStyle w:val="Normal"/>
        <w:spacing w:before="0" w:after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Rok za podnošenje prijava je </w:t>
      </w:r>
      <w:r>
        <w:rPr>
          <w:rFonts w:cs="Times New Roman"/>
          <w:b/>
          <w:color w:themeColor="text1" w:val="000000"/>
          <w:szCs w:val="24"/>
        </w:rPr>
        <w:t>15</w:t>
      </w:r>
      <w:r>
        <w:rPr>
          <w:rFonts w:cs="Times New Roman"/>
          <w:b/>
          <w:color w:val="EE0000"/>
          <w:szCs w:val="24"/>
        </w:rPr>
        <w:t xml:space="preserve"> </w:t>
      </w:r>
      <w:r>
        <w:rPr>
          <w:rFonts w:cs="Times New Roman"/>
          <w:b/>
          <w:szCs w:val="24"/>
        </w:rPr>
        <w:t>dana od dana objavljivanja natječaja.</w:t>
      </w:r>
    </w:p>
    <w:p>
      <w:pPr>
        <w:pStyle w:val="Normal"/>
        <w:spacing w:before="0" w:after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Natječaj traje od </w:t>
      </w:r>
      <w:r>
        <w:rPr>
          <w:rFonts w:cs="Times New Roman"/>
          <w:b/>
          <w:color w:themeColor="text1" w:val="000000"/>
          <w:szCs w:val="24"/>
        </w:rPr>
        <w:t>10.09. - 25.09.2026</w:t>
      </w:r>
      <w:r>
        <w:rPr>
          <w:rFonts w:cs="Times New Roman"/>
          <w:b/>
          <w:szCs w:val="24"/>
        </w:rPr>
        <w:t>. godine.</w:t>
      </w:r>
    </w:p>
    <w:p>
      <w:pPr>
        <w:pStyle w:val="Normal"/>
        <w:spacing w:before="0" w:after="0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</w:r>
    </w:p>
    <w:p>
      <w:pPr>
        <w:pStyle w:val="Normal"/>
        <w:spacing w:before="0" w:after="0"/>
        <w:jc w:val="both"/>
        <w:rPr>
          <w:rFonts w:cs="Times New Roman"/>
          <w:b/>
          <w:szCs w:val="24"/>
        </w:rPr>
      </w:pPr>
      <w:r>
        <w:rPr>
          <w:rFonts w:cs="Times New Roman"/>
          <w:szCs w:val="24"/>
        </w:rPr>
        <w:t>Nepotpune i nepravodobne zamolbe neće se razmatrati, a protiv navedene obavijesti nema se pravo prigovora.</w:t>
      </w:r>
    </w:p>
    <w:p>
      <w:pPr>
        <w:pStyle w:val="ListParagraph"/>
        <w:spacing w:before="0" w:after="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ListParagraph"/>
        <w:spacing w:before="0" w:after="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ListParagraph"/>
        <w:spacing w:before="0" w:after="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ListParagraph"/>
        <w:spacing w:before="0" w:after="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ListParagraph"/>
        <w:spacing w:before="0" w:after="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ListParagraph"/>
        <w:spacing w:before="0" w:after="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ListParagraph"/>
        <w:spacing w:before="0" w:after="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ListParagraph"/>
        <w:spacing w:before="0" w:after="0"/>
        <w:contextualSpacing/>
        <w:jc w:val="both"/>
        <w:rPr>
          <w:rFonts w:ascii="Arial" w:hAnsi="Arial" w:eastAsia="Calibri" w:cs="Arial"/>
          <w:sz w:val="22"/>
        </w:rPr>
      </w:pPr>
      <w:r>
        <w:rPr>
          <w:rFonts w:cs="Times New Roman"/>
          <w:szCs w:val="24"/>
        </w:rPr>
        <w:tab/>
        <w:tab/>
        <w:tab/>
        <w:tab/>
        <w:tab/>
        <w:tab/>
        <w:tab/>
      </w:r>
      <w:r>
        <w:rPr>
          <w:rFonts w:eastAsia="Calibri" w:cs="Arial" w:ascii="Arial" w:hAnsi="Arial"/>
          <w:sz w:val="22"/>
        </w:rPr>
        <w:t xml:space="preserve">                                                                                          </w:t>
      </w:r>
    </w:p>
    <w:p>
      <w:pPr>
        <w:pStyle w:val="ListParagraph"/>
        <w:spacing w:before="0" w:after="0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Arial" w:ascii="Arial" w:hAnsi="Arial"/>
          <w:sz w:val="22"/>
        </w:rPr>
        <w:t xml:space="preserve">                                                                     </w:t>
      </w:r>
      <w:r>
        <w:rPr>
          <w:rFonts w:eastAsia="Calibri" w:cs="Times New Roman"/>
          <w:szCs w:val="24"/>
        </w:rPr>
        <w:t>PREDSJEDNIK UPRAVNOG VIJEĆA</w:t>
      </w:r>
    </w:p>
    <w:p>
      <w:pPr>
        <w:pStyle w:val="Normal"/>
        <w:spacing w:before="0" w:after="0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                                                                                                          </w:t>
      </w:r>
      <w:r>
        <w:rPr>
          <w:rFonts w:eastAsia="Calibri" w:cs="Times New Roman"/>
          <w:szCs w:val="24"/>
        </w:rPr>
        <w:t>Dalibor Bajči</w:t>
      </w:r>
    </w:p>
    <w:p>
      <w:pPr>
        <w:pStyle w:val="ListParagraph"/>
        <w:spacing w:before="0" w:after="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0"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Dostaviti:</w:t>
      </w:r>
    </w:p>
    <w:p>
      <w:pPr>
        <w:pStyle w:val="ListParagraph"/>
        <w:numPr>
          <w:ilvl w:val="0"/>
          <w:numId w:val="4"/>
        </w:numPr>
        <w:spacing w:before="0" w:after="0"/>
        <w:ind w:hanging="360" w:start="72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Mrežne stranice i Oglasna ploča Hrvatskog zavoda za zapošljavanje</w:t>
      </w:r>
    </w:p>
    <w:p>
      <w:pPr>
        <w:pStyle w:val="ListParagraph"/>
        <w:numPr>
          <w:ilvl w:val="0"/>
          <w:numId w:val="2"/>
        </w:numPr>
        <w:spacing w:before="0" w:after="0"/>
        <w:ind w:hanging="360" w:start="72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Mrežne stranice i Oglasna ploča DV Lopoč</w:t>
      </w:r>
    </w:p>
    <w:p>
      <w:pPr>
        <w:pStyle w:val="ListParagraph"/>
        <w:numPr>
          <w:ilvl w:val="0"/>
          <w:numId w:val="2"/>
        </w:numPr>
        <w:spacing w:before="0" w:after="0"/>
        <w:ind w:hanging="360" w:start="72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Mrežne stranice Općine Tompojevci  </w:t>
      </w:r>
    </w:p>
    <w:p>
      <w:pPr>
        <w:pStyle w:val="ListParagraph"/>
        <w:spacing w:before="0" w:after="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alibri Light">
    <w:charset w:val="01"/>
    <w:family w:val="swiss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927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166c0"/>
    <w:pPr>
      <w:widowControl/>
      <w:bidi w:val="0"/>
      <w:spacing w:lineRule="auto" w:line="276" w:before="0" w:after="200"/>
      <w:jc w:val="star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yperlink">
    <w:name w:val="Hyperlink"/>
    <w:basedOn w:val="DefaultParagraphFont"/>
    <w:uiPriority w:val="99"/>
    <w:unhideWhenUsed/>
    <w:rsid w:val="00e166c0"/>
    <w:rPr>
      <w:color w:themeColor="hyperlink" w:val="0000FF"/>
      <w:u w:val="single"/>
    </w:rPr>
  </w:style>
  <w:style w:type="character" w:styleId="TekstbaloniaChar" w:customStyle="1">
    <w:name w:val="Tekst balončića Char"/>
    <w:basedOn w:val="DefaultParagraphFont"/>
    <w:link w:val="BalloonText"/>
    <w:uiPriority w:val="99"/>
    <w:semiHidden/>
    <w:rsid w:val="000e2c0f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f1b04"/>
    <w:rPr>
      <w:color w:themeColor="followedHyperlink"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6314"/>
    <w:rPr>
      <w:color w:val="605E5C"/>
      <w:shd w:fill="E1DFDD" w:val="clear"/>
    </w:rPr>
  </w:style>
  <w:style w:type="paragraph" w:styleId="Stilnaslova">
    <w:name w:val="Stil naslova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e166c0"/>
    <w:pPr>
      <w:spacing w:before="0" w:after="200"/>
      <w:ind w:start="720"/>
      <w:contextualSpacing/>
    </w:pPr>
    <w:rPr/>
  </w:style>
  <w:style w:type="paragraph" w:styleId="NoSpacing">
    <w:name w:val="No Spacing"/>
    <w:uiPriority w:val="1"/>
    <w:qFormat/>
    <w:rsid w:val="00e125ab"/>
    <w:pPr>
      <w:widowControl/>
      <w:bidi w:val="0"/>
      <w:spacing w:lineRule="auto" w:line="240" w:before="0" w:after="0"/>
      <w:jc w:val="star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hr-HR" w:eastAsia="en-US" w:bidi="ar-SA"/>
    </w:rPr>
  </w:style>
  <w:style w:type="paragraph" w:styleId="NormalWeb">
    <w:name w:val="Normal (Web)"/>
    <w:basedOn w:val="Normal"/>
    <w:uiPriority w:val="99"/>
    <w:semiHidden/>
    <w:unhideWhenUsed/>
    <w:rsid w:val="00307b7d"/>
    <w:pPr>
      <w:spacing w:lineRule="auto" w:line="240" w:beforeAutospacing="1" w:afterAutospacing="1"/>
    </w:pPr>
    <w:rPr>
      <w:rFonts w:eastAsia="Times New Roman" w:cs="Times New Roman"/>
      <w:szCs w:val="24"/>
      <w:lang w:eastAsia="hr-HR"/>
    </w:rPr>
  </w:style>
  <w:style w:type="paragraph" w:styleId="BalloonText">
    <w:name w:val="Balloon Text"/>
    <w:basedOn w:val="Normal"/>
    <w:link w:val="TekstbaloniaChar"/>
    <w:uiPriority w:val="99"/>
    <w:semiHidden/>
    <w:unhideWhenUsed/>
    <w:rsid w:val="000e2c0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branitelji.gov.hr/zaposljavanje843/843" TargetMode="External"/><Relationship Id="rId3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Relationship Id="rId4" Type="http://schemas.openxmlformats.org/officeDocument/2006/relationships/hyperlink" Target="https://branitelji.gov.hr/UserDocsImages//dokumenti/Nikola//popis%20dokaza%20za%20ostvarivanje%20prava%20prednosti%20pri%20zapo&#353;ljavanju-%20Zakon%20o%20civilnim%20stradalnicima%20iz%20DR.pdf" TargetMode="External"/><Relationship Id="rId5" Type="http://schemas.openxmlformats.org/officeDocument/2006/relationships/hyperlink" Target="https://vrtic-lopoc.opcina-tompojevci.hr/" TargetMode="External"/><Relationship Id="rId6" Type="http://schemas.openxmlformats.org/officeDocument/2006/relationships/hyperlink" Target="https://vrtic-lopoc.opcina-tompojevci.hr/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LibreOffice/26.8.0.3$Windows_X86_64 LibreOffice_project/bce0998afefdbc355585ca324285661a2170ba77</Application>
  <AppVersion>15.0000</AppVersion>
  <Pages>4</Pages>
  <Words>1120</Words>
  <Characters>7102</Characters>
  <CharactersWithSpaces>8455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2026-09-03T09:54:00Z</dcterms:created>
  <dc:creator>vrtic</dc:creator>
  <dc:description/>
  <dc:language>hr-HR</dc:language>
  <cp:lastModifiedBy/>
  <cp:lastPrinted>2026-09-03T09:11:00Z</cp:lastPrinted>
  <dcterms:modified xsi:type="dcterms:W3CDTF">2026-10-09T08:25:44Z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